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D46D0" w14:textId="77777777" w:rsidR="00727C21" w:rsidRPr="00727C21" w:rsidRDefault="00727C21" w:rsidP="008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 w:eastAsia="es-ES_tradnl"/>
        </w:rPr>
      </w:pPr>
      <w:r w:rsidRPr="00727C21">
        <w:rPr>
          <w:rFonts w:ascii="Georgia" w:hAnsi="Georgia" w:cs="Times New Roman"/>
          <w:b/>
          <w:color w:val="333333"/>
          <w:sz w:val="32"/>
          <w:szCs w:val="32"/>
          <w:lang w:val="es-ES_tradnl" w:eastAsia="es-ES_tradnl"/>
        </w:rPr>
        <w:t>GESTIÓN DE POLÍTICAS  SOCIO SANITARIAS para ADULTOS MAYORES</w:t>
      </w:r>
    </w:p>
    <w:p w14:paraId="13D278F3" w14:textId="77777777" w:rsidR="00727C21" w:rsidRDefault="00727C21" w:rsidP="00727C21">
      <w:pPr>
        <w:spacing w:before="240" w:after="120" w:line="360" w:lineRule="auto"/>
        <w:jc w:val="both"/>
        <w:rPr>
          <w:rFonts w:cs="Arial"/>
          <w:b/>
          <w:bCs/>
          <w:u w:val="single"/>
          <w:lang w:val="es-ES_tradnl"/>
        </w:rPr>
      </w:pPr>
    </w:p>
    <w:p w14:paraId="0C76BE86" w14:textId="77777777" w:rsidR="00727C21" w:rsidRPr="00727C21" w:rsidRDefault="00727C21" w:rsidP="00727C21">
      <w:pPr>
        <w:spacing w:before="240" w:after="120" w:line="360" w:lineRule="auto"/>
        <w:jc w:val="both"/>
        <w:rPr>
          <w:rFonts w:cs="Arial"/>
          <w:b/>
          <w:bCs/>
          <w:u w:val="single"/>
          <w:lang w:val="es-ES_tradnl"/>
        </w:rPr>
      </w:pPr>
      <w:r w:rsidRPr="00727C21">
        <w:rPr>
          <w:rFonts w:cs="Arial"/>
          <w:b/>
          <w:bCs/>
          <w:u w:val="single"/>
          <w:lang w:val="es-ES_tradnl"/>
        </w:rPr>
        <w:t xml:space="preserve"> CONTENIDOS TEMÁTICOS</w:t>
      </w:r>
      <w:bookmarkStart w:id="0" w:name="_GoBack"/>
      <w:bookmarkEnd w:id="0"/>
    </w:p>
    <w:p w14:paraId="4277CFA7" w14:textId="77777777" w:rsidR="00727C21" w:rsidRPr="008C443D" w:rsidRDefault="00727C21" w:rsidP="00727C21">
      <w:pPr>
        <w:spacing w:line="360" w:lineRule="auto"/>
        <w:jc w:val="both"/>
        <w:rPr>
          <w:rFonts w:cs="Arial"/>
          <w:bCs/>
        </w:rPr>
      </w:pPr>
      <w:r w:rsidRPr="008C443D">
        <w:rPr>
          <w:rFonts w:cs="Arial"/>
          <w:b/>
        </w:rPr>
        <w:t>MODULO 1: DESAFÍOS DEL ENVEJECIMIENTO</w:t>
      </w:r>
      <w:r w:rsidRPr="008C443D">
        <w:rPr>
          <w:rFonts w:cs="Arial"/>
        </w:rPr>
        <w:t xml:space="preserve"> (Duración 32 horas cátedra presenciales)</w:t>
      </w:r>
    </w:p>
    <w:p w14:paraId="0966239F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Bases conceptuales de la Gerontología Social.</w:t>
      </w:r>
    </w:p>
    <w:p w14:paraId="2E713818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Aportes para la definición del campo epistémico de problemas del envejecimiento</w:t>
      </w:r>
    </w:p>
    <w:p w14:paraId="4881C670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El espacio de lo sociosanitario</w:t>
      </w:r>
    </w:p>
    <w:p w14:paraId="35A688BC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Los componentes del proceso del envejecimiento desde el paradigma de la Teoría de la Complejidad. </w:t>
      </w:r>
    </w:p>
    <w:p w14:paraId="50D86A2A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Style w:val="nfasis"/>
          <w:rFonts w:cs="Arial"/>
          <w:i w:val="0"/>
          <w:iCs w:val="0"/>
        </w:rPr>
      </w:pPr>
      <w:r w:rsidRPr="008C443D">
        <w:rPr>
          <w:rStyle w:val="nfasis"/>
          <w:rFonts w:cs="Arial"/>
          <w:bCs/>
          <w:i w:val="0"/>
          <w:color w:val="222222"/>
          <w:shd w:val="clear" w:color="auto" w:fill="FFFFFF"/>
        </w:rPr>
        <w:t xml:space="preserve">La construcción/ deconstrucción simbólica de la vejez. </w:t>
      </w:r>
    </w:p>
    <w:p w14:paraId="196DAD3E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iCs/>
        </w:rPr>
        <w:t>La Crisis de la Economía Mundial y el gasto social.</w:t>
      </w:r>
    </w:p>
    <w:p w14:paraId="1F9BF127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Imagen y autoimagen de la vejez.</w:t>
      </w:r>
    </w:p>
    <w:p w14:paraId="3C7F1F8A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Cambio de roles del adulto mayor.</w:t>
      </w:r>
    </w:p>
    <w:p w14:paraId="73E9B7B6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Diferencias de género y envejecimiento diferencial. </w:t>
      </w:r>
    </w:p>
    <w:p w14:paraId="6839C55D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El adulto mayor y su entorno familiar. </w:t>
      </w:r>
    </w:p>
    <w:p w14:paraId="0B55718E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Derechos Humanos y Tercera Edad</w:t>
      </w:r>
    </w:p>
    <w:p w14:paraId="67F21639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  <w:iCs/>
        </w:rPr>
      </w:pPr>
      <w:r w:rsidRPr="008C443D">
        <w:rPr>
          <w:rFonts w:cs="Arial"/>
          <w:bCs/>
          <w:iCs/>
        </w:rPr>
        <w:t xml:space="preserve">Abordaje de la problemática de la violencia hacia el mayor adulto en sus múltiples formas </w:t>
      </w:r>
      <w:r w:rsidRPr="008C443D">
        <w:rPr>
          <w:rFonts w:cs="Arial"/>
          <w:iCs/>
        </w:rPr>
        <w:t xml:space="preserve">Puesta en  crisis del concepto de seguridad individual frente a la necesidad de una construcción colectiva alternativa. </w:t>
      </w:r>
    </w:p>
    <w:p w14:paraId="4D4B670B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Maltrato, abuso y negligencia con los adultos mayores. </w:t>
      </w:r>
    </w:p>
    <w:p w14:paraId="60BCDEC5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Los grandes gigantes de la Geriatrìa.</w:t>
      </w:r>
    </w:p>
    <w:p w14:paraId="48BB1A3C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Cuadri-evaluación integral de los mayores</w:t>
      </w:r>
    </w:p>
    <w:p w14:paraId="4CEA5480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Grandes asignaturas pendientes: la dependencia como un nuevo tsunami social y epidemiológico.</w:t>
      </w:r>
    </w:p>
    <w:p w14:paraId="54B89122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  <w:bCs/>
        </w:rPr>
      </w:pPr>
      <w:r w:rsidRPr="008C443D">
        <w:rPr>
          <w:rFonts w:cs="Arial"/>
          <w:bCs/>
        </w:rPr>
        <w:t>Sexualidad en Tercera Edad</w:t>
      </w:r>
    </w:p>
    <w:p w14:paraId="47A4AF00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lastRenderedPageBreak/>
        <w:t>Pérdidas en la Vejez</w:t>
      </w:r>
    </w:p>
    <w:p w14:paraId="13DA7130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t>Muerte elección o destino.</w:t>
      </w:r>
    </w:p>
    <w:p w14:paraId="3E34FE47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b/>
          <w:bCs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t>Predictores de envejecimiento saludable: Compromiso con la vida</w:t>
      </w:r>
    </w:p>
    <w:p w14:paraId="120BBA58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t xml:space="preserve">Seguridad Social o inseguridad individual </w:t>
      </w:r>
    </w:p>
    <w:p w14:paraId="66F87F8F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t xml:space="preserve">La capacitación de los adultos mayores y las nuevas tecnologías. </w:t>
      </w:r>
    </w:p>
    <w:p w14:paraId="664276A0" w14:textId="77777777" w:rsidR="00727C21" w:rsidRPr="008C443D" w:rsidRDefault="00727C21" w:rsidP="00727C21">
      <w:pPr>
        <w:pStyle w:val="Ttulo7"/>
        <w:numPr>
          <w:ilvl w:val="0"/>
          <w:numId w:val="1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color w:val="auto"/>
          <w:sz w:val="22"/>
          <w:szCs w:val="22"/>
        </w:rPr>
      </w:pPr>
      <w:r w:rsidRPr="008C443D">
        <w:rPr>
          <w:rFonts w:ascii="Calibri" w:hAnsi="Calibri" w:cs="Arial"/>
          <w:i w:val="0"/>
          <w:color w:val="auto"/>
          <w:sz w:val="22"/>
          <w:szCs w:val="22"/>
        </w:rPr>
        <w:t>La “participación” y las  organizaciones del Sector.</w:t>
      </w:r>
    </w:p>
    <w:p w14:paraId="1ECDC4A0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Historia de la Seguridad Social desde una perspectiva amplia</w:t>
      </w:r>
    </w:p>
    <w:p w14:paraId="56FCE233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  <w:color w:val="222222"/>
          <w:shd w:val="clear" w:color="auto" w:fill="FFFFFF"/>
        </w:rPr>
      </w:pPr>
      <w:r w:rsidRPr="008C443D">
        <w:rPr>
          <w:rFonts w:cs="Arial"/>
          <w:color w:val="222222"/>
          <w:shd w:val="clear" w:color="auto" w:fill="FFFFFF"/>
        </w:rPr>
        <w:t xml:space="preserve">Construcción y deconstrucción de imaginarios asociados a la tercera edad en la industria cultural argentina: </w:t>
      </w:r>
    </w:p>
    <w:p w14:paraId="3E7EA195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iCs/>
        </w:rPr>
        <w:t>Capacitación no tradicional en Gerontología</w:t>
      </w:r>
    </w:p>
    <w:p w14:paraId="1B09AFEA" w14:textId="77777777" w:rsidR="00727C21" w:rsidRPr="008C443D" w:rsidRDefault="00727C21" w:rsidP="00727C21">
      <w:pPr>
        <w:numPr>
          <w:ilvl w:val="0"/>
          <w:numId w:val="1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Las representaciones sobre la vejez en el escenario simbólico</w:t>
      </w:r>
    </w:p>
    <w:p w14:paraId="5DAE753B" w14:textId="77777777" w:rsidR="00727C21" w:rsidRPr="008C443D" w:rsidRDefault="00727C21" w:rsidP="00727C21">
      <w:pPr>
        <w:spacing w:after="160" w:line="360" w:lineRule="auto"/>
        <w:ind w:left="284" w:right="340"/>
        <w:contextualSpacing/>
        <w:jc w:val="both"/>
        <w:rPr>
          <w:rFonts w:cs="Arial"/>
        </w:rPr>
      </w:pPr>
    </w:p>
    <w:p w14:paraId="08D42E61" w14:textId="77777777" w:rsidR="00727C21" w:rsidRPr="008C443D" w:rsidRDefault="00727C21" w:rsidP="00727C21">
      <w:pPr>
        <w:spacing w:line="360" w:lineRule="auto"/>
        <w:jc w:val="both"/>
        <w:rPr>
          <w:rFonts w:cs="Arial"/>
        </w:rPr>
      </w:pPr>
      <w:r w:rsidRPr="008C443D">
        <w:rPr>
          <w:rFonts w:cs="Arial"/>
          <w:b/>
        </w:rPr>
        <w:t>MODULO 2: GESTIÓN DE PROGRAMAS GERONTOLÓGICOS</w:t>
      </w:r>
      <w:r w:rsidRPr="008C443D">
        <w:rPr>
          <w:rFonts w:cs="Arial"/>
        </w:rPr>
        <w:t xml:space="preserve"> (Duración 32 horas cátedra presenciales)</w:t>
      </w:r>
    </w:p>
    <w:p w14:paraId="4F03FFD3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 Coordinación Sociosanitaria</w:t>
      </w:r>
    </w:p>
    <w:p w14:paraId="677A3185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El espacio de lo sociosanitario frente a los discursos escindidos de la salud y de la acción social</w:t>
      </w:r>
    </w:p>
    <w:p w14:paraId="55CA9C6C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  <w:iCs/>
        </w:rPr>
      </w:pPr>
      <w:r w:rsidRPr="008C443D">
        <w:rPr>
          <w:rFonts w:cs="Arial"/>
          <w:bCs/>
        </w:rPr>
        <w:t>El “set” de Servicios-Sociosanitarios</w:t>
      </w:r>
    </w:p>
    <w:p w14:paraId="58DFC4A8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  <w:iCs/>
        </w:rPr>
      </w:pPr>
      <w:r w:rsidRPr="008C443D">
        <w:rPr>
          <w:rFonts w:cs="Arial"/>
          <w:iCs/>
        </w:rPr>
        <w:t>Las instituciones frente a la institución de la vejez</w:t>
      </w:r>
    </w:p>
    <w:p w14:paraId="1B8850AD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  <w:iCs/>
        </w:rPr>
      </w:pPr>
      <w:r w:rsidRPr="008C443D">
        <w:rPr>
          <w:rFonts w:cs="Arial"/>
          <w:iCs/>
        </w:rPr>
        <w:t>Promoción de buenas prácticas institucionales desde una perspectiva de derechos.</w:t>
      </w:r>
    </w:p>
    <w:p w14:paraId="578BC90C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Equipo Gerontológico de “intervención”</w:t>
      </w:r>
    </w:p>
    <w:p w14:paraId="28ACC726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 interdisciplina frente a la complejidad del envejecimiento</w:t>
      </w:r>
    </w:p>
    <w:p w14:paraId="0760C4F7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bCs/>
        </w:rPr>
        <w:t>Apertura, Dirección y Gestión de Centros para la Tercera edad</w:t>
      </w:r>
      <w:r w:rsidRPr="008C443D">
        <w:rPr>
          <w:rFonts w:cs="Arial"/>
        </w:rPr>
        <w:t>,</w:t>
      </w:r>
    </w:p>
    <w:p w14:paraId="2670E823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Atención socio-sanitaria. </w:t>
      </w:r>
    </w:p>
    <w:p w14:paraId="5486473A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Atención institucionalizada</w:t>
      </w:r>
    </w:p>
    <w:p w14:paraId="3E6764F8" w14:textId="77777777" w:rsidR="00727C21" w:rsidRPr="008C443D" w:rsidRDefault="00727C21" w:rsidP="00727C21">
      <w:pPr>
        <w:pStyle w:val="Ttulo7"/>
        <w:numPr>
          <w:ilvl w:val="0"/>
          <w:numId w:val="2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8C443D">
        <w:rPr>
          <w:rFonts w:ascii="Calibri" w:hAnsi="Calibri" w:cs="Arial"/>
          <w:i w:val="0"/>
          <w:sz w:val="22"/>
          <w:szCs w:val="22"/>
        </w:rPr>
        <w:t>Programas de animación socio-cultural</w:t>
      </w:r>
    </w:p>
    <w:p w14:paraId="1F996353" w14:textId="77777777" w:rsidR="00727C21" w:rsidRPr="008C443D" w:rsidRDefault="00727C21" w:rsidP="00727C21">
      <w:pPr>
        <w:pStyle w:val="Ttulo7"/>
        <w:numPr>
          <w:ilvl w:val="0"/>
          <w:numId w:val="2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8C443D">
        <w:rPr>
          <w:rFonts w:ascii="Calibri" w:hAnsi="Calibri" w:cs="Arial"/>
          <w:i w:val="0"/>
          <w:sz w:val="22"/>
          <w:szCs w:val="22"/>
        </w:rPr>
        <w:t xml:space="preserve">Alimentación </w:t>
      </w:r>
    </w:p>
    <w:p w14:paraId="5A8429D6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  <w:bCs/>
        </w:rPr>
      </w:pPr>
      <w:r w:rsidRPr="008C443D">
        <w:rPr>
          <w:rFonts w:cs="Arial"/>
          <w:bCs/>
        </w:rPr>
        <w:t>Ayudas técnicas en Tercera Edad</w:t>
      </w:r>
    </w:p>
    <w:p w14:paraId="1B45E9E9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Proyectos de “intervención” en espacios gerontológicos. </w:t>
      </w:r>
    </w:p>
    <w:p w14:paraId="642B4A16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Nuevas experiencias de atención a los adultos mayores. </w:t>
      </w:r>
    </w:p>
    <w:p w14:paraId="6BC621E7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bCs/>
        </w:rPr>
        <w:t>Mediación en conflictos familiares</w:t>
      </w:r>
    </w:p>
    <w:p w14:paraId="2B0F9B0C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bCs/>
        </w:rPr>
        <w:t>La familia como parte de los problemas y de sus soluciones</w:t>
      </w:r>
    </w:p>
    <w:p w14:paraId="10BBE637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bCs/>
        </w:rPr>
        <w:t>Modalidades colaborativas e interdisciplinarias de intervención en los problemas de los mayores</w:t>
      </w:r>
    </w:p>
    <w:p w14:paraId="137B9111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Programas de ayuda a domicilio, cuidados informales, </w:t>
      </w:r>
    </w:p>
    <w:p w14:paraId="0678FECA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Atención de pacientes con Trastornos cognitivos</w:t>
      </w:r>
    </w:p>
    <w:p w14:paraId="6AD3350A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Centros de Día Terapéuticos</w:t>
      </w:r>
    </w:p>
    <w:p w14:paraId="43A6C089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Internación en residencias para mayores</w:t>
      </w:r>
    </w:p>
    <w:p w14:paraId="6F352401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Cuidados paliativos</w:t>
      </w:r>
    </w:p>
    <w:p w14:paraId="64B32B34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Política de recursos humanos.</w:t>
      </w:r>
    </w:p>
    <w:p w14:paraId="488D5902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Institución, organización y establecimiento</w:t>
      </w:r>
    </w:p>
    <w:p w14:paraId="719C89E0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Las intervenciones no tradicionales en el campo comunitario</w:t>
      </w:r>
    </w:p>
    <w:p w14:paraId="1D6242A6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bCs/>
        </w:rPr>
        <w:t>Hacia el proyecto gerontológico.</w:t>
      </w:r>
    </w:p>
    <w:p w14:paraId="5DA39FE9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El personal gerontológico como agente de cambio: la supervisión matricial. </w:t>
      </w:r>
    </w:p>
    <w:p w14:paraId="693AA407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Asesoramiento a contextos gerontológicos </w:t>
      </w:r>
    </w:p>
    <w:p w14:paraId="09B3A073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Bioética gerontológica.</w:t>
      </w:r>
    </w:p>
    <w:p w14:paraId="4B1F1193" w14:textId="77777777" w:rsidR="00727C21" w:rsidRPr="008C443D" w:rsidRDefault="00727C21" w:rsidP="00727C21">
      <w:pPr>
        <w:numPr>
          <w:ilvl w:val="0"/>
          <w:numId w:val="2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 función técnica y la función social del gerontólogo, aptitud y actitud frente a los desafíos gerontológicos</w:t>
      </w:r>
    </w:p>
    <w:p w14:paraId="01F21E48" w14:textId="77777777" w:rsidR="00727C21" w:rsidRDefault="00727C21" w:rsidP="00727C21">
      <w:pPr>
        <w:spacing w:line="360" w:lineRule="auto"/>
        <w:ind w:left="-76"/>
        <w:jc w:val="both"/>
        <w:rPr>
          <w:rFonts w:cs="Arial"/>
          <w:b/>
        </w:rPr>
      </w:pPr>
    </w:p>
    <w:p w14:paraId="40805685" w14:textId="77777777" w:rsidR="00727C21" w:rsidRPr="00B177DD" w:rsidRDefault="00727C21" w:rsidP="00727C21">
      <w:pPr>
        <w:spacing w:line="360" w:lineRule="auto"/>
        <w:ind w:left="-76"/>
        <w:jc w:val="both"/>
        <w:rPr>
          <w:rFonts w:cs="Arial"/>
        </w:rPr>
      </w:pPr>
      <w:r>
        <w:rPr>
          <w:rFonts w:cs="Arial"/>
          <w:b/>
        </w:rPr>
        <w:t xml:space="preserve">MODULO 3: </w:t>
      </w:r>
      <w:r w:rsidRPr="00B177DD">
        <w:rPr>
          <w:rFonts w:cs="Arial"/>
          <w:b/>
        </w:rPr>
        <w:t>SEMINARIO DE METODOLOGÍA DE INVESTIGACIÓN</w:t>
      </w:r>
      <w:r w:rsidRPr="00B177DD">
        <w:rPr>
          <w:rFonts w:cs="Arial"/>
        </w:rPr>
        <w:t xml:space="preserve"> (Duración 32 horas cátedra presenciales)</w:t>
      </w:r>
    </w:p>
    <w:p w14:paraId="16840629" w14:textId="77777777" w:rsidR="00727C21" w:rsidRPr="00B177DD" w:rsidRDefault="00727C21" w:rsidP="00727C21">
      <w:pPr>
        <w:spacing w:line="360" w:lineRule="auto"/>
        <w:ind w:left="-76"/>
        <w:jc w:val="both"/>
        <w:rPr>
          <w:rFonts w:cs="Arial"/>
        </w:rPr>
      </w:pPr>
      <w:r w:rsidRPr="00B177DD">
        <w:rPr>
          <w:rFonts w:cs="Arial"/>
          <w:bCs/>
          <w:iCs/>
        </w:rPr>
        <w:t xml:space="preserve">Se constituye como instancia transversal a lo largo de  toda la cursada orientando, acompañando y monitoreando técnica y metodológicamente  los procesos investigativos de los cursantes desde el comienzo de la cursada </w:t>
      </w:r>
    </w:p>
    <w:p w14:paraId="61ED1534" w14:textId="77777777" w:rsidR="00727C21" w:rsidRPr="00B177DD" w:rsidRDefault="00727C21" w:rsidP="00727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  <w:color w:val="222222"/>
        </w:rPr>
      </w:pPr>
      <w:r w:rsidRPr="00B177DD">
        <w:rPr>
          <w:rFonts w:cs="Arial"/>
          <w:bCs/>
          <w:color w:val="222222"/>
        </w:rPr>
        <w:t>Monitoreo-acompañamiento-asistencia.</w:t>
      </w:r>
    </w:p>
    <w:p w14:paraId="5F536293" w14:textId="77777777" w:rsidR="00727C21" w:rsidRPr="00B177DD" w:rsidRDefault="00727C21" w:rsidP="00727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="Arial"/>
          <w:color w:val="222222"/>
        </w:rPr>
      </w:pPr>
      <w:r w:rsidRPr="00B177DD">
        <w:rPr>
          <w:rFonts w:cs="Arial"/>
          <w:color w:val="222222"/>
        </w:rPr>
        <w:t>Planteo y desarrollo de temas de tesina final.</w:t>
      </w:r>
    </w:p>
    <w:p w14:paraId="1CF996D1" w14:textId="77777777" w:rsidR="00727C21" w:rsidRPr="00B177DD" w:rsidRDefault="00727C21" w:rsidP="00727C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340"/>
        <w:jc w:val="both"/>
        <w:rPr>
          <w:rFonts w:cs="Arial"/>
          <w:color w:val="222222"/>
        </w:rPr>
      </w:pPr>
      <w:r w:rsidRPr="00B177DD">
        <w:rPr>
          <w:rFonts w:cs="Arial"/>
          <w:color w:val="222222"/>
        </w:rPr>
        <w:t>Diseño de investigación,  metodología, estrategia y técnicas cuali-cuantitativas.</w:t>
      </w:r>
    </w:p>
    <w:p w14:paraId="2E1B9B9B" w14:textId="77777777" w:rsidR="00727C21" w:rsidRPr="00B177DD" w:rsidRDefault="00727C21" w:rsidP="00727C21">
      <w:pPr>
        <w:numPr>
          <w:ilvl w:val="0"/>
          <w:numId w:val="4"/>
        </w:numPr>
        <w:shd w:val="clear" w:color="auto" w:fill="FFFFFF"/>
        <w:spacing w:before="100" w:beforeAutospacing="1" w:after="0" w:afterAutospacing="1" w:line="360" w:lineRule="auto"/>
        <w:ind w:right="340"/>
        <w:jc w:val="both"/>
      </w:pPr>
      <w:r w:rsidRPr="00B177DD">
        <w:rPr>
          <w:rFonts w:cs="Arial"/>
          <w:color w:val="222222"/>
        </w:rPr>
        <w:t>Reflexión metodológica y práctica profesional.</w:t>
      </w:r>
    </w:p>
    <w:p w14:paraId="742D4E51" w14:textId="77777777" w:rsidR="00727C21" w:rsidRPr="008C443D" w:rsidRDefault="00727C21" w:rsidP="00727C21">
      <w:pPr>
        <w:spacing w:after="160" w:line="360" w:lineRule="auto"/>
        <w:ind w:left="284" w:right="340"/>
        <w:contextualSpacing/>
        <w:jc w:val="both"/>
        <w:rPr>
          <w:rFonts w:cs="Arial"/>
        </w:rPr>
      </w:pPr>
    </w:p>
    <w:p w14:paraId="09225E6F" w14:textId="77777777" w:rsidR="00727C21" w:rsidRPr="008C443D" w:rsidRDefault="00727C21" w:rsidP="00727C21">
      <w:pPr>
        <w:spacing w:line="360" w:lineRule="auto"/>
        <w:jc w:val="both"/>
        <w:rPr>
          <w:rFonts w:cs="Arial"/>
          <w:bCs/>
        </w:rPr>
      </w:pPr>
      <w:r w:rsidRPr="008C443D">
        <w:rPr>
          <w:rFonts w:cs="Arial"/>
          <w:b/>
        </w:rPr>
        <w:t>MODULO 4: PLANIFICACIÓN Y POLITICAS GERONTOLOGICAS</w:t>
      </w:r>
      <w:r w:rsidRPr="008C443D">
        <w:rPr>
          <w:rFonts w:cs="Arial"/>
          <w:bCs/>
        </w:rPr>
        <w:t xml:space="preserve"> </w:t>
      </w:r>
      <w:r w:rsidRPr="008C443D">
        <w:rPr>
          <w:rFonts w:cs="Arial"/>
        </w:rPr>
        <w:t>(Duración 32 horas cátedra)</w:t>
      </w:r>
    </w:p>
    <w:p w14:paraId="068D761C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Programación y planificación.</w:t>
      </w:r>
    </w:p>
    <w:p w14:paraId="7BF8C2F8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 xml:space="preserve">Planificación y políticas. </w:t>
      </w:r>
    </w:p>
    <w:p w14:paraId="115CAA25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Políticas sociales o políticas de individuación</w:t>
      </w:r>
    </w:p>
    <w:p w14:paraId="2AF7FF45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Metodologías normativa y estratégica y participativa.</w:t>
      </w:r>
    </w:p>
    <w:p w14:paraId="0708CBE4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Sustentabilidad y viabilidad política, económica, técnica y organizacional de los proyectos en Gerontología</w:t>
      </w:r>
    </w:p>
    <w:p w14:paraId="7782AACA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Líneas estratégicas en Tercera Edad (envejecimiento saludable, mantenimiento en el medio y alternativas a la vivienda habitual)</w:t>
      </w:r>
    </w:p>
    <w:p w14:paraId="6ADEF3BA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  <w:bCs/>
        </w:rPr>
      </w:pPr>
      <w:r w:rsidRPr="008C443D">
        <w:rPr>
          <w:rFonts w:cs="Arial"/>
          <w:bCs/>
        </w:rPr>
        <w:t>Auditorías retrospectiva y prospectiva</w:t>
      </w:r>
    </w:p>
    <w:p w14:paraId="06391997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 gestión de calidad en las instituciones gerontológicas</w:t>
      </w:r>
    </w:p>
    <w:p w14:paraId="57976270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La evaluación  para el cambio.</w:t>
      </w:r>
    </w:p>
    <w:p w14:paraId="65A83F72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</w:rPr>
        <w:t>Evaluación de programas gerontológicos</w:t>
      </w:r>
    </w:p>
    <w:p w14:paraId="0296F3AD" w14:textId="77777777" w:rsidR="00727C21" w:rsidRPr="008C443D" w:rsidRDefault="00727C21" w:rsidP="00727C21">
      <w:pPr>
        <w:pStyle w:val="Ttulo7"/>
        <w:numPr>
          <w:ilvl w:val="0"/>
          <w:numId w:val="3"/>
        </w:numPr>
        <w:spacing w:before="40" w:line="360" w:lineRule="auto"/>
        <w:ind w:left="284" w:right="340"/>
        <w:jc w:val="both"/>
        <w:rPr>
          <w:rFonts w:ascii="Calibri" w:hAnsi="Calibri" w:cs="Arial"/>
          <w:b/>
          <w:i w:val="0"/>
          <w:sz w:val="22"/>
          <w:szCs w:val="22"/>
        </w:rPr>
      </w:pPr>
      <w:r w:rsidRPr="008C443D">
        <w:rPr>
          <w:rFonts w:ascii="Calibri" w:hAnsi="Calibri" w:cs="Arial"/>
          <w:i w:val="0"/>
          <w:sz w:val="22"/>
          <w:szCs w:val="22"/>
        </w:rPr>
        <w:t>Calidad de los programas y servicios</w:t>
      </w:r>
    </w:p>
    <w:p w14:paraId="740EDF9A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  <w:bCs/>
        </w:rPr>
      </w:pPr>
      <w:r w:rsidRPr="008C443D">
        <w:rPr>
          <w:rFonts w:cs="Arial"/>
          <w:bCs/>
        </w:rPr>
        <w:t>Conceptos de “control y calidad”</w:t>
      </w:r>
    </w:p>
    <w:p w14:paraId="79A51A25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  <w:iCs/>
        </w:rPr>
      </w:pPr>
      <w:r w:rsidRPr="008C443D">
        <w:rPr>
          <w:rFonts w:cs="Arial"/>
          <w:iCs/>
        </w:rPr>
        <w:t xml:space="preserve">El poder de la organización </w:t>
      </w:r>
    </w:p>
    <w:p w14:paraId="4DE8F04E" w14:textId="77777777" w:rsidR="00727C21" w:rsidRPr="008C443D" w:rsidRDefault="00727C21" w:rsidP="00727C21">
      <w:pPr>
        <w:numPr>
          <w:ilvl w:val="0"/>
          <w:numId w:val="3"/>
        </w:numPr>
        <w:spacing w:after="160" w:line="360" w:lineRule="auto"/>
        <w:ind w:left="284" w:right="340"/>
        <w:contextualSpacing/>
        <w:jc w:val="both"/>
        <w:rPr>
          <w:rFonts w:cs="Arial"/>
        </w:rPr>
      </w:pPr>
      <w:r w:rsidRPr="008C443D">
        <w:rPr>
          <w:rFonts w:cs="Arial"/>
          <w:iCs/>
        </w:rPr>
        <w:t>Prospectivas y escenarios</w:t>
      </w:r>
    </w:p>
    <w:p w14:paraId="7C57CBB4" w14:textId="77777777" w:rsidR="00727C21" w:rsidRPr="008C443D" w:rsidRDefault="00727C21" w:rsidP="00727C21">
      <w:pPr>
        <w:spacing w:after="160" w:line="360" w:lineRule="auto"/>
        <w:ind w:left="284" w:right="340"/>
        <w:contextualSpacing/>
        <w:jc w:val="both"/>
        <w:rPr>
          <w:rFonts w:cs="Arial"/>
        </w:rPr>
      </w:pPr>
    </w:p>
    <w:p w14:paraId="4F2EC3C2" w14:textId="77777777" w:rsidR="00727C21" w:rsidRPr="008C443D" w:rsidRDefault="00727C21" w:rsidP="00727C21">
      <w:pPr>
        <w:spacing w:after="160" w:line="360" w:lineRule="auto"/>
        <w:ind w:right="340"/>
        <w:contextualSpacing/>
        <w:jc w:val="both"/>
        <w:rPr>
          <w:rFonts w:cs="Arial"/>
          <w:b/>
        </w:rPr>
      </w:pPr>
      <w:r w:rsidRPr="008C443D">
        <w:rPr>
          <w:rFonts w:cs="Arial"/>
          <w:b/>
        </w:rPr>
        <w:t>MODULO COMPLEMENTARIO DE SISTEMATIZACIÓN (</w:t>
      </w:r>
      <w:r w:rsidRPr="008C443D">
        <w:rPr>
          <w:rFonts w:cs="Arial"/>
        </w:rPr>
        <w:t>128 horas cátedra no presenciales)</w:t>
      </w:r>
    </w:p>
    <w:p w14:paraId="5018BD9F" w14:textId="77777777" w:rsidR="00A06173" w:rsidRDefault="00727C21" w:rsidP="00727C21">
      <w:r w:rsidRPr="008C443D">
        <w:rPr>
          <w:rFonts w:cs="Arial"/>
        </w:rPr>
        <w:t>Supone una instancia de taller y resistematización de la experiencia de cursada presencial, mediante la consulta de materiales teóricos, la elaboración de trabajos prácticos y la participación/discusión de temáticas específicas en el aula virtual.</w:t>
      </w:r>
    </w:p>
    <w:sectPr w:rsidR="00A06173" w:rsidSect="00442F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4AD9"/>
    <w:multiLevelType w:val="hybridMultilevel"/>
    <w:tmpl w:val="667042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D73"/>
    <w:multiLevelType w:val="hybridMultilevel"/>
    <w:tmpl w:val="6A3CE2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5C69"/>
    <w:multiLevelType w:val="hybridMultilevel"/>
    <w:tmpl w:val="639602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54578"/>
    <w:multiLevelType w:val="hybridMultilevel"/>
    <w:tmpl w:val="9D88DA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21"/>
    <w:rsid w:val="00442F75"/>
    <w:rsid w:val="0070790D"/>
    <w:rsid w:val="00727C21"/>
    <w:rsid w:val="008016B3"/>
    <w:rsid w:val="00A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BC10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21"/>
    <w:pPr>
      <w:spacing w:after="200" w:line="276" w:lineRule="auto"/>
    </w:pPr>
    <w:rPr>
      <w:rFonts w:ascii="Calibri" w:eastAsia="Times New Roman" w:hAnsi="Calibri" w:cs="Calibri"/>
      <w:sz w:val="22"/>
      <w:szCs w:val="22"/>
      <w:lang w:val="es-AR" w:eastAsia="es-AR"/>
    </w:rPr>
  </w:style>
  <w:style w:type="paragraph" w:styleId="Ttulo7">
    <w:name w:val="heading 7"/>
    <w:basedOn w:val="Normal"/>
    <w:next w:val="Normal"/>
    <w:link w:val="Ttulo7Car"/>
    <w:qFormat/>
    <w:rsid w:val="00727C2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27C2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nfasis">
    <w:name w:val="Emphasis"/>
    <w:uiPriority w:val="20"/>
    <w:qFormat/>
    <w:rsid w:val="00727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4202</Characters>
  <Application>Microsoft Macintosh Word</Application>
  <DocSecurity>0</DocSecurity>
  <Lines>35</Lines>
  <Paragraphs>9</Paragraphs>
  <ScaleCrop>false</ScaleCrop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2017-09-05T19:49:00Z</dcterms:created>
  <dcterms:modified xsi:type="dcterms:W3CDTF">2017-09-05T19:49:00Z</dcterms:modified>
</cp:coreProperties>
</file>